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3A42" w:rsidRPr="00B77707" w:rsidRDefault="0048171E" w:rsidP="00596248">
      <w:pPr>
        <w:pStyle w:val="Titlu1"/>
        <w:jc w:val="center"/>
        <w:rPr>
          <w:rFonts w:ascii="Times New Roman" w:hAnsi="Times New Roman" w:cs="Times New Roman"/>
          <w:lang w:val="ro-RO"/>
        </w:rPr>
      </w:pPr>
      <w:r w:rsidRPr="00B77707">
        <w:rPr>
          <w:rFonts w:ascii="Times New Roman" w:hAnsi="Times New Roman" w:cs="Times New Roman"/>
          <w:lang w:val="ro-RO"/>
        </w:rPr>
        <w:t>Delta Dunării</w:t>
      </w:r>
    </w:p>
    <w:p w:rsidR="00257230" w:rsidRPr="00B77707" w:rsidRDefault="00257230" w:rsidP="00596248">
      <w:pPr>
        <w:pStyle w:val="Titlu2"/>
        <w:rPr>
          <w:sz w:val="28"/>
          <w:szCs w:val="28"/>
          <w:lang w:val="ro-RO"/>
        </w:rPr>
      </w:pPr>
      <w:r w:rsidRPr="00B77707">
        <w:rPr>
          <w:lang w:val="ro-RO"/>
        </w:rPr>
        <w:t>Geografie</w:t>
      </w:r>
    </w:p>
    <w:p w:rsidR="004E4311" w:rsidRPr="00B77707" w:rsidRDefault="0048171E" w:rsidP="004E4311">
      <w:pPr>
        <w:pStyle w:val="NormalWeb"/>
        <w:spacing w:before="0" w:beforeAutospacing="0" w:after="0" w:afterAutospacing="0"/>
        <w:ind w:firstLine="720"/>
        <w:rPr>
          <w:lang w:val="ro-RO"/>
        </w:rPr>
      </w:pPr>
      <w:r w:rsidRPr="00B77707">
        <w:rPr>
          <w:b/>
          <w:bCs/>
          <w:lang w:val="ro-RO"/>
        </w:rPr>
        <w:t>Delta Dunării</w:t>
      </w:r>
      <w:r w:rsidRPr="00B77707">
        <w:rPr>
          <w:lang w:val="ro-RO"/>
        </w:rPr>
        <w:t xml:space="preserve"> (3446 km²), aflată în mare parte în Dobrogea, România, și par</w:t>
      </w:r>
      <w:r w:rsidR="006D4EF7" w:rsidRPr="00B77707">
        <w:rPr>
          <w:lang w:val="ro-RO"/>
        </w:rPr>
        <w:t>ț</w:t>
      </w:r>
      <w:r w:rsidRPr="00B77707">
        <w:rPr>
          <w:lang w:val="ro-RO"/>
        </w:rPr>
        <w:t>ial în Ucraina, este cea mai mare și cea mai bine conservată dintre deltele europene.</w:t>
      </w:r>
    </w:p>
    <w:p w:rsidR="0048171E" w:rsidRPr="00B77707" w:rsidRDefault="0048171E" w:rsidP="004E4311">
      <w:pPr>
        <w:pStyle w:val="NormalWeb"/>
        <w:spacing w:before="0" w:beforeAutospacing="0" w:after="0" w:afterAutospacing="0"/>
        <w:rPr>
          <w:lang w:val="ro-RO"/>
        </w:rPr>
      </w:pPr>
      <w:r w:rsidRPr="00B77707">
        <w:rPr>
          <w:lang w:val="ro-RO"/>
        </w:rPr>
        <w:t xml:space="preserve">Delta Dunării a intrat în </w:t>
      </w:r>
      <w:r w:rsidRPr="00B77707">
        <w:rPr>
          <w:color w:val="000000"/>
          <w:lang w:val="ro-RO"/>
        </w:rPr>
        <w:t>patrimoniul mondial</w:t>
      </w:r>
      <w:r w:rsidRPr="00B77707">
        <w:rPr>
          <w:lang w:val="ro-RO"/>
        </w:rPr>
        <w:t xml:space="preserve"> al </w:t>
      </w:r>
      <w:r w:rsidRPr="00B77707">
        <w:rPr>
          <w:color w:val="000000"/>
          <w:lang w:val="ro-RO"/>
        </w:rPr>
        <w:t>UNESCO</w:t>
      </w:r>
      <w:r w:rsidRPr="00B77707">
        <w:rPr>
          <w:lang w:val="ro-RO"/>
        </w:rPr>
        <w:t xml:space="preserve"> în 1991 şi este clasificată ca rezerva</w:t>
      </w:r>
      <w:r w:rsidR="006D4EF7" w:rsidRPr="00B77707">
        <w:rPr>
          <w:lang w:val="ro-RO"/>
        </w:rPr>
        <w:t>ț</w:t>
      </w:r>
      <w:r w:rsidRPr="00B77707">
        <w:rPr>
          <w:lang w:val="ro-RO"/>
        </w:rPr>
        <w:t>ie a biosferei la nivel na</w:t>
      </w:r>
      <w:r w:rsidR="006D4EF7" w:rsidRPr="00B77707">
        <w:rPr>
          <w:lang w:val="ro-RO"/>
        </w:rPr>
        <w:t>ț</w:t>
      </w:r>
      <w:r w:rsidRPr="00B77707">
        <w:rPr>
          <w:lang w:val="ro-RO"/>
        </w:rPr>
        <w:t>ional în România.</w:t>
      </w:r>
    </w:p>
    <w:p w:rsidR="0048171E" w:rsidRPr="00B77707" w:rsidRDefault="0048171E" w:rsidP="00E54867">
      <w:pPr>
        <w:pStyle w:val="NormalWeb"/>
        <w:spacing w:before="0" w:beforeAutospacing="0" w:after="0" w:afterAutospacing="0"/>
        <w:rPr>
          <w:color w:val="000000"/>
          <w:lang w:val="ro-RO"/>
        </w:rPr>
      </w:pPr>
      <w:r w:rsidRPr="00B77707">
        <w:rPr>
          <w:b/>
          <w:color w:val="000000"/>
          <w:lang w:val="ro-RO"/>
        </w:rPr>
        <w:t>Br</w:t>
      </w:r>
      <w:r w:rsidR="006D4EF7" w:rsidRPr="00B77707">
        <w:rPr>
          <w:b/>
          <w:color w:val="000000"/>
          <w:lang w:val="ro-RO"/>
        </w:rPr>
        <w:t>aț</w:t>
      </w:r>
      <w:r w:rsidRPr="00B77707">
        <w:rPr>
          <w:b/>
          <w:color w:val="000000"/>
          <w:lang w:val="ro-RO"/>
        </w:rPr>
        <w:t>ul Chilia</w:t>
      </w:r>
      <w:r w:rsidRPr="00B77707">
        <w:rPr>
          <w:color w:val="000000"/>
          <w:lang w:val="ro-RO"/>
        </w:rPr>
        <w:t>, formează grani</w:t>
      </w:r>
      <w:r w:rsidR="006D4EF7" w:rsidRPr="00B77707">
        <w:rPr>
          <w:color w:val="000000"/>
          <w:lang w:val="ro-RO"/>
        </w:rPr>
        <w:t>ț</w:t>
      </w:r>
      <w:r w:rsidRPr="00B77707">
        <w:rPr>
          <w:color w:val="000000"/>
          <w:lang w:val="ro-RO"/>
        </w:rPr>
        <w:t>a cu Ucraina, și transportă pe cursul său de o lungime de 104 km², 60% din apele și aluviunile Dunării.</w:t>
      </w:r>
    </w:p>
    <w:p w:rsidR="0048171E" w:rsidRPr="00B77707" w:rsidRDefault="0048171E" w:rsidP="00E54867">
      <w:pPr>
        <w:pStyle w:val="NormalWeb"/>
        <w:spacing w:before="0" w:beforeAutospacing="0" w:after="0" w:afterAutospacing="0"/>
        <w:rPr>
          <w:color w:val="000000"/>
          <w:lang w:val="ro-RO"/>
        </w:rPr>
      </w:pPr>
      <w:r w:rsidRPr="00B77707">
        <w:rPr>
          <w:b/>
          <w:color w:val="000000"/>
          <w:lang w:val="ro-RO"/>
        </w:rPr>
        <w:t>Br</w:t>
      </w:r>
      <w:r w:rsidR="006D4EF7" w:rsidRPr="00B77707">
        <w:rPr>
          <w:b/>
          <w:color w:val="000000"/>
          <w:lang w:val="ro-RO"/>
        </w:rPr>
        <w:t>aț</w:t>
      </w:r>
      <w:r w:rsidRPr="00B77707">
        <w:rPr>
          <w:b/>
          <w:color w:val="000000"/>
          <w:lang w:val="ro-RO"/>
        </w:rPr>
        <w:t>ul Sulina</w:t>
      </w:r>
      <w:r w:rsidRPr="00B77707">
        <w:rPr>
          <w:color w:val="000000"/>
          <w:lang w:val="ro-RO"/>
        </w:rPr>
        <w:t xml:space="preserve"> este situat în mijlocul Deltei, și spre deosebire de Chilia, are un curs rectiliniu, fiind permanent dragat și între</w:t>
      </w:r>
      <w:r w:rsidR="006D4EF7" w:rsidRPr="00B77707">
        <w:rPr>
          <w:color w:val="000000"/>
          <w:lang w:val="ro-RO"/>
        </w:rPr>
        <w:t>ț</w:t>
      </w:r>
      <w:r w:rsidRPr="00B77707">
        <w:rPr>
          <w:color w:val="000000"/>
          <w:lang w:val="ro-RO"/>
        </w:rPr>
        <w:t>inut pentru naviga</w:t>
      </w:r>
      <w:r w:rsidR="006D4EF7" w:rsidRPr="00B77707">
        <w:rPr>
          <w:color w:val="000000"/>
          <w:lang w:val="ro-RO"/>
        </w:rPr>
        <w:t>ț</w:t>
      </w:r>
      <w:r w:rsidRPr="00B77707">
        <w:rPr>
          <w:color w:val="000000"/>
          <w:lang w:val="ro-RO"/>
        </w:rPr>
        <w:t>ia vaselor maritime. Are o lungime de 71 km și transportă 18% din volumul de apă al Dunării.</w:t>
      </w:r>
    </w:p>
    <w:p w:rsidR="0048171E" w:rsidRPr="00B77707" w:rsidRDefault="0048171E" w:rsidP="00E54867">
      <w:pPr>
        <w:pStyle w:val="NormalWeb"/>
        <w:spacing w:before="0" w:beforeAutospacing="0" w:after="0" w:afterAutospacing="0"/>
        <w:rPr>
          <w:color w:val="000000"/>
          <w:lang w:val="ro-RO"/>
        </w:rPr>
      </w:pPr>
      <w:r w:rsidRPr="00B77707">
        <w:rPr>
          <w:b/>
          <w:color w:val="000000"/>
          <w:lang w:val="ro-RO"/>
        </w:rPr>
        <w:t>Br</w:t>
      </w:r>
      <w:r w:rsidR="006D4EF7" w:rsidRPr="00B77707">
        <w:rPr>
          <w:b/>
          <w:color w:val="000000"/>
          <w:lang w:val="ro-RO"/>
        </w:rPr>
        <w:t>aț</w:t>
      </w:r>
      <w:r w:rsidRPr="00B77707">
        <w:rPr>
          <w:b/>
          <w:color w:val="000000"/>
          <w:lang w:val="ro-RO"/>
        </w:rPr>
        <w:t>ul Sfântul Gheorghe</w:t>
      </w:r>
      <w:r w:rsidRPr="00B77707">
        <w:rPr>
          <w:color w:val="000000"/>
          <w:lang w:val="ro-RO"/>
        </w:rPr>
        <w:t xml:space="preserve"> se desfășoară pe 112 km, transportând 22% din debi</w:t>
      </w:r>
      <w:r w:rsidR="00257230" w:rsidRPr="00B77707">
        <w:rPr>
          <w:color w:val="000000"/>
          <w:lang w:val="ro-RO"/>
        </w:rPr>
        <w:t>tul Dunării. La vărsare formează</w:t>
      </w:r>
      <w:r w:rsidRPr="00B77707">
        <w:rPr>
          <w:color w:val="000000"/>
          <w:lang w:val="ro-RO"/>
        </w:rPr>
        <w:t xml:space="preserve"> insulele Sacalin considerate un început de deltă secundară.</w:t>
      </w:r>
    </w:p>
    <w:p w:rsidR="000710D5" w:rsidRPr="00B77707" w:rsidRDefault="000710D5" w:rsidP="000710D5">
      <w:pPr>
        <w:pStyle w:val="NormalWeb"/>
        <w:spacing w:before="0" w:beforeAutospacing="0" w:after="0" w:afterAutospacing="0"/>
        <w:ind w:firstLine="720"/>
        <w:rPr>
          <w:color w:val="000000"/>
          <w:lang w:val="ro-RO"/>
        </w:rPr>
      </w:pPr>
      <w:r w:rsidRPr="00B77707">
        <w:rPr>
          <w:color w:val="000000"/>
          <w:lang w:val="ro-RO"/>
        </w:rPr>
        <w:t>Dunărea ajunsă la Pătlăgeanca se bifurcă în două bra</w:t>
      </w:r>
      <w:r w:rsidR="006D4EF7" w:rsidRPr="00B77707">
        <w:rPr>
          <w:color w:val="000000"/>
          <w:lang w:val="ro-RO"/>
        </w:rPr>
        <w:t>ț</w:t>
      </w:r>
      <w:r w:rsidRPr="00B77707">
        <w:rPr>
          <w:color w:val="000000"/>
          <w:lang w:val="ro-RO"/>
        </w:rPr>
        <w:t>e, Br</w:t>
      </w:r>
      <w:r w:rsidR="00E4453D" w:rsidRPr="00B77707">
        <w:rPr>
          <w:color w:val="000000"/>
          <w:lang w:val="ro-RO"/>
        </w:rPr>
        <w:t>aț</w:t>
      </w:r>
      <w:r w:rsidRPr="00B77707">
        <w:rPr>
          <w:color w:val="000000"/>
          <w:lang w:val="ro-RO"/>
        </w:rPr>
        <w:t>ul Chilia la nord</w:t>
      </w:r>
      <w:r w:rsidR="00E4453D" w:rsidRPr="00B77707">
        <w:rPr>
          <w:color w:val="000000"/>
          <w:lang w:val="ro-RO"/>
        </w:rPr>
        <w:t xml:space="preserve"> ș</w:t>
      </w:r>
      <w:r w:rsidRPr="00B77707">
        <w:rPr>
          <w:color w:val="000000"/>
          <w:lang w:val="ro-RO"/>
        </w:rPr>
        <w:t>i Bra</w:t>
      </w:r>
      <w:r w:rsidR="006D4EF7" w:rsidRPr="00B77707">
        <w:rPr>
          <w:color w:val="000000"/>
          <w:lang w:val="ro-RO"/>
        </w:rPr>
        <w:t>ț</w:t>
      </w:r>
      <w:r w:rsidRPr="00B77707">
        <w:rPr>
          <w:color w:val="000000"/>
          <w:lang w:val="ro-RO"/>
        </w:rPr>
        <w:t>ul Tulcea la sud, bra</w:t>
      </w:r>
      <w:r w:rsidR="006D4EF7" w:rsidRPr="00B77707">
        <w:rPr>
          <w:color w:val="000000"/>
          <w:lang w:val="ro-RO"/>
        </w:rPr>
        <w:t>ț</w:t>
      </w:r>
      <w:r w:rsidRPr="00B77707">
        <w:rPr>
          <w:color w:val="000000"/>
          <w:lang w:val="ro-RO"/>
        </w:rPr>
        <w:t xml:space="preserve"> care </w:t>
      </w:r>
      <w:r w:rsidR="00E4453D" w:rsidRPr="00B77707">
        <w:rPr>
          <w:color w:val="000000"/>
          <w:lang w:val="ro-RO"/>
        </w:rPr>
        <w:t>mai apoi la Ceatal Sfâ</w:t>
      </w:r>
      <w:r w:rsidRPr="00B77707">
        <w:rPr>
          <w:color w:val="000000"/>
          <w:lang w:val="ro-RO"/>
        </w:rPr>
        <w:t>ntu Gheorghe, se desparte în Bra</w:t>
      </w:r>
      <w:r w:rsidR="006D4EF7" w:rsidRPr="00B77707">
        <w:rPr>
          <w:color w:val="000000"/>
          <w:lang w:val="ro-RO"/>
        </w:rPr>
        <w:t>ț</w:t>
      </w:r>
      <w:r w:rsidRPr="00B77707">
        <w:rPr>
          <w:color w:val="000000"/>
          <w:lang w:val="ro-RO"/>
        </w:rPr>
        <w:t>ul Sulina și Bra</w:t>
      </w:r>
      <w:r w:rsidR="006D4EF7" w:rsidRPr="00B77707">
        <w:rPr>
          <w:color w:val="000000"/>
          <w:lang w:val="ro-RO"/>
        </w:rPr>
        <w:t>ț</w:t>
      </w:r>
      <w:r w:rsidRPr="00B77707">
        <w:rPr>
          <w:color w:val="000000"/>
          <w:lang w:val="ro-RO"/>
        </w:rPr>
        <w:t>ul Sfântul Gheorghe.</w:t>
      </w:r>
    </w:p>
    <w:p w:rsidR="000710D5" w:rsidRPr="00B77707" w:rsidRDefault="000710D5" w:rsidP="004E4311">
      <w:pPr>
        <w:rPr>
          <w:lang w:val="ro-RO"/>
        </w:rPr>
        <w:sectPr w:rsidR="000710D5" w:rsidRPr="00B77707" w:rsidSect="00EC5634">
          <w:pgSz w:w="12240" w:h="15840"/>
          <w:pgMar w:top="1440" w:right="1800" w:bottom="1440" w:left="1800" w:header="708" w:footer="708" w:gutter="0"/>
          <w:cols w:space="708"/>
          <w:docGrid w:linePitch="360"/>
        </w:sectPr>
      </w:pPr>
    </w:p>
    <w:p w:rsidR="00257230" w:rsidRPr="00B77707" w:rsidRDefault="007F47C0" w:rsidP="00596248">
      <w:pPr>
        <w:pStyle w:val="Titlu2"/>
        <w:rPr>
          <w:lang w:val="ro-RO"/>
        </w:rPr>
      </w:pPr>
      <w:r w:rsidRPr="00B77707">
        <w:rPr>
          <w:lang w:val="ro-RO"/>
        </w:rPr>
        <w:lastRenderedPageBreak/>
        <w:t>Apele Dunării</w:t>
      </w:r>
    </w:p>
    <w:p w:rsidR="00257230" w:rsidRPr="00B77707" w:rsidRDefault="00257230" w:rsidP="00257230">
      <w:pPr>
        <w:pStyle w:val="NormalWeb"/>
        <w:rPr>
          <w:lang w:val="ro-RO"/>
        </w:rPr>
      </w:pPr>
      <w:r w:rsidRPr="00B77707">
        <w:rPr>
          <w:lang w:val="ro-RO"/>
        </w:rPr>
        <w:t>Delta Dunării se încadrează în spa</w:t>
      </w:r>
      <w:r w:rsidR="006D4EF7" w:rsidRPr="00B77707">
        <w:rPr>
          <w:lang w:val="ro-RO"/>
        </w:rPr>
        <w:t>ț</w:t>
      </w:r>
      <w:r w:rsidRPr="00B77707">
        <w:rPr>
          <w:lang w:val="ro-RO"/>
        </w:rPr>
        <w:t>iul cu climat temperat semiarid specific stepelor pontice. Spa</w:t>
      </w:r>
      <w:r w:rsidR="006D4EF7" w:rsidRPr="00B77707">
        <w:rPr>
          <w:lang w:val="ro-RO"/>
        </w:rPr>
        <w:t>ț</w:t>
      </w:r>
      <w:r w:rsidRPr="00B77707">
        <w:rPr>
          <w:lang w:val="ro-RO"/>
        </w:rPr>
        <w:t>iile acvatice plane și foarte întinse, acoperite în diferite grade cu vegeta</w:t>
      </w:r>
      <w:r w:rsidR="006D4EF7" w:rsidRPr="00B77707">
        <w:rPr>
          <w:lang w:val="ro-RO"/>
        </w:rPr>
        <w:t>ț</w:t>
      </w:r>
      <w:r w:rsidRPr="00B77707">
        <w:rPr>
          <w:lang w:val="ro-RO"/>
        </w:rPr>
        <w:t>ie, întrerupte de insulele nisipoase ale câmpurilor marine, alcătuiesc o suprafa</w:t>
      </w:r>
      <w:r w:rsidR="006D4EF7" w:rsidRPr="00B77707">
        <w:rPr>
          <w:lang w:val="ro-RO"/>
        </w:rPr>
        <w:t>ț</w:t>
      </w:r>
      <w:r w:rsidRPr="00B77707">
        <w:rPr>
          <w:lang w:val="ro-RO"/>
        </w:rPr>
        <w:t>ă activă specifică deltei și lagunelor adiacente, cu totul diferită de cea a stepelor pontice.</w:t>
      </w:r>
    </w:p>
    <w:p w:rsidR="00FE3A8A" w:rsidRPr="00B77707" w:rsidRDefault="00FE3A8A" w:rsidP="00257230">
      <w:pPr>
        <w:pStyle w:val="NormalWeb"/>
        <w:rPr>
          <w:bCs/>
          <w:lang w:val="ro-RO"/>
        </w:rPr>
      </w:pPr>
      <w:r w:rsidRPr="00B77707">
        <w:rPr>
          <w:bCs/>
          <w:lang w:val="ro-RO"/>
        </w:rPr>
        <w:t>Cuprinsă între cele trei mari braţe, Chilia, Sulina şi Sf. Gheorghe, Dunărea alimentează şi complexul de lacuri Razelm Sinoe. Debitul braţelor este inegal, Chilia, 104 Km, transportând aproximativ 60% din debitul total, rămânând ca Sulina, 78 Km, să transporte aproximativ 18%, iar Sf. Gheorghe, 112 Km, restul de 22%.</w:t>
      </w:r>
    </w:p>
    <w:tbl>
      <w:tblPr>
        <w:tblStyle w:val="GrilTabel"/>
        <w:tblW w:w="0" w:type="auto"/>
        <w:tblInd w:w="735" w:type="dxa"/>
        <w:tblLook w:val="04A0"/>
      </w:tblPr>
      <w:tblGrid>
        <w:gridCol w:w="2067"/>
        <w:gridCol w:w="1817"/>
        <w:gridCol w:w="1585"/>
      </w:tblGrid>
      <w:tr w:rsidR="00FE3A8A" w:rsidRPr="00B77707" w:rsidTr="00F427CF">
        <w:tc>
          <w:tcPr>
            <w:tcW w:w="2067" w:type="dxa"/>
          </w:tcPr>
          <w:p w:rsidR="00FE3A8A" w:rsidRPr="00B77707" w:rsidRDefault="00FE3A8A" w:rsidP="00257230">
            <w:pPr>
              <w:pStyle w:val="NormalWeb"/>
              <w:rPr>
                <w:lang w:val="ro-RO"/>
              </w:rPr>
            </w:pPr>
            <w:r w:rsidRPr="00B77707">
              <w:rPr>
                <w:lang w:val="ro-RO"/>
              </w:rPr>
              <w:t>Braţul Dunării</w:t>
            </w:r>
          </w:p>
        </w:tc>
        <w:tc>
          <w:tcPr>
            <w:tcW w:w="1817" w:type="dxa"/>
          </w:tcPr>
          <w:p w:rsidR="00FE3A8A" w:rsidRPr="00B77707" w:rsidRDefault="00FE3A8A" w:rsidP="00257230">
            <w:pPr>
              <w:pStyle w:val="NormalWeb"/>
              <w:rPr>
                <w:lang w:val="ro-RO"/>
              </w:rPr>
            </w:pPr>
            <w:r w:rsidRPr="00B77707">
              <w:rPr>
                <w:lang w:val="ro-RO"/>
              </w:rPr>
              <w:t>Lungime</w:t>
            </w:r>
            <w:r w:rsidR="00F427CF" w:rsidRPr="00B77707">
              <w:rPr>
                <w:lang w:val="ro-RO"/>
              </w:rPr>
              <w:t xml:space="preserve"> </w:t>
            </w:r>
            <w:r w:rsidRPr="00B77707">
              <w:rPr>
                <w:lang w:val="ro-RO"/>
              </w:rPr>
              <w:t>( Km)</w:t>
            </w:r>
          </w:p>
        </w:tc>
        <w:tc>
          <w:tcPr>
            <w:tcW w:w="1585" w:type="dxa"/>
          </w:tcPr>
          <w:p w:rsidR="00FE3A8A" w:rsidRPr="00B77707" w:rsidRDefault="00F427CF" w:rsidP="00257230">
            <w:pPr>
              <w:pStyle w:val="NormalWeb"/>
            </w:pPr>
            <w:r w:rsidRPr="00B77707">
              <w:rPr>
                <w:lang w:val="ro-RO"/>
              </w:rPr>
              <w:t>Debit (m</w:t>
            </w:r>
            <w:r w:rsidRPr="00B77707">
              <w:rPr>
                <w:vertAlign w:val="superscript"/>
                <w:lang w:val="ro-RO"/>
              </w:rPr>
              <w:t>3</w:t>
            </w:r>
            <w:r w:rsidRPr="00B77707">
              <w:t>/s)</w:t>
            </w:r>
          </w:p>
        </w:tc>
      </w:tr>
      <w:tr w:rsidR="00FE3A8A" w:rsidRPr="00B77707" w:rsidTr="00F427CF">
        <w:tc>
          <w:tcPr>
            <w:tcW w:w="2067" w:type="dxa"/>
          </w:tcPr>
          <w:p w:rsidR="00FE3A8A" w:rsidRPr="00B77707" w:rsidRDefault="00F427CF" w:rsidP="00257230">
            <w:pPr>
              <w:pStyle w:val="NormalWeb"/>
              <w:rPr>
                <w:lang w:val="ro-RO"/>
              </w:rPr>
            </w:pPr>
            <w:r w:rsidRPr="00B77707">
              <w:rPr>
                <w:lang w:val="ro-RO"/>
              </w:rPr>
              <w:t>Sulina</w:t>
            </w:r>
          </w:p>
        </w:tc>
        <w:tc>
          <w:tcPr>
            <w:tcW w:w="1817" w:type="dxa"/>
          </w:tcPr>
          <w:p w:rsidR="00FE3A8A" w:rsidRPr="00B77707" w:rsidRDefault="00F427CF" w:rsidP="00257230">
            <w:pPr>
              <w:pStyle w:val="NormalWeb"/>
              <w:rPr>
                <w:lang w:val="ro-RO"/>
              </w:rPr>
            </w:pPr>
            <w:r w:rsidRPr="00B77707">
              <w:rPr>
                <w:lang w:val="ro-RO"/>
              </w:rPr>
              <w:t>78</w:t>
            </w:r>
          </w:p>
        </w:tc>
        <w:tc>
          <w:tcPr>
            <w:tcW w:w="1585" w:type="dxa"/>
          </w:tcPr>
          <w:p w:rsidR="00FE3A8A" w:rsidRPr="00B77707" w:rsidRDefault="00F427CF" w:rsidP="00257230">
            <w:pPr>
              <w:pStyle w:val="NormalWeb"/>
              <w:rPr>
                <w:lang w:val="ro-RO"/>
              </w:rPr>
            </w:pPr>
            <w:r w:rsidRPr="00B77707">
              <w:rPr>
                <w:lang w:val="ro-RO"/>
              </w:rPr>
              <w:t>2700</w:t>
            </w:r>
          </w:p>
        </w:tc>
      </w:tr>
      <w:tr w:rsidR="00FE3A8A" w:rsidRPr="00B77707" w:rsidTr="00F427CF">
        <w:tc>
          <w:tcPr>
            <w:tcW w:w="2067" w:type="dxa"/>
          </w:tcPr>
          <w:p w:rsidR="00FE3A8A" w:rsidRPr="00B77707" w:rsidRDefault="00F427CF" w:rsidP="00257230">
            <w:pPr>
              <w:pStyle w:val="NormalWeb"/>
              <w:rPr>
                <w:lang w:val="ro-RO"/>
              </w:rPr>
            </w:pPr>
            <w:r w:rsidRPr="00B77707">
              <w:rPr>
                <w:lang w:val="ro-RO"/>
              </w:rPr>
              <w:t>Chilia</w:t>
            </w:r>
          </w:p>
        </w:tc>
        <w:tc>
          <w:tcPr>
            <w:tcW w:w="1817" w:type="dxa"/>
          </w:tcPr>
          <w:p w:rsidR="00FE3A8A" w:rsidRPr="00B77707" w:rsidRDefault="00F427CF" w:rsidP="00257230">
            <w:pPr>
              <w:pStyle w:val="NormalWeb"/>
              <w:rPr>
                <w:lang w:val="ro-RO"/>
              </w:rPr>
            </w:pPr>
            <w:r w:rsidRPr="00B77707">
              <w:rPr>
                <w:lang w:val="ro-RO"/>
              </w:rPr>
              <w:t>104</w:t>
            </w:r>
          </w:p>
        </w:tc>
        <w:tc>
          <w:tcPr>
            <w:tcW w:w="1585" w:type="dxa"/>
          </w:tcPr>
          <w:p w:rsidR="00FE3A8A" w:rsidRPr="00B77707" w:rsidRDefault="00F427CF" w:rsidP="00257230">
            <w:pPr>
              <w:pStyle w:val="NormalWeb"/>
              <w:rPr>
                <w:lang w:val="ro-RO"/>
              </w:rPr>
            </w:pPr>
            <w:r w:rsidRPr="00B77707">
              <w:rPr>
                <w:lang w:val="ro-RO"/>
              </w:rPr>
              <w:t>9000</w:t>
            </w:r>
          </w:p>
        </w:tc>
      </w:tr>
      <w:tr w:rsidR="00F427CF" w:rsidRPr="00B77707" w:rsidTr="00F427CF">
        <w:tc>
          <w:tcPr>
            <w:tcW w:w="2067" w:type="dxa"/>
          </w:tcPr>
          <w:p w:rsidR="00F427CF" w:rsidRPr="00B77707" w:rsidRDefault="00F427CF" w:rsidP="00257230">
            <w:pPr>
              <w:pStyle w:val="NormalWeb"/>
              <w:rPr>
                <w:lang w:val="ro-RO"/>
              </w:rPr>
            </w:pPr>
            <w:r w:rsidRPr="00B77707">
              <w:rPr>
                <w:lang w:val="ro-RO"/>
              </w:rPr>
              <w:t>Sfântu Gheoghe</w:t>
            </w:r>
          </w:p>
        </w:tc>
        <w:tc>
          <w:tcPr>
            <w:tcW w:w="1817" w:type="dxa"/>
          </w:tcPr>
          <w:p w:rsidR="00F427CF" w:rsidRPr="00B77707" w:rsidRDefault="00F427CF" w:rsidP="00257230">
            <w:pPr>
              <w:pStyle w:val="NormalWeb"/>
              <w:rPr>
                <w:lang w:val="ro-RO"/>
              </w:rPr>
            </w:pPr>
            <w:r w:rsidRPr="00B77707">
              <w:rPr>
                <w:lang w:val="ro-RO"/>
              </w:rPr>
              <w:t>112</w:t>
            </w:r>
          </w:p>
        </w:tc>
        <w:tc>
          <w:tcPr>
            <w:tcW w:w="1585" w:type="dxa"/>
          </w:tcPr>
          <w:p w:rsidR="00F427CF" w:rsidRPr="00B77707" w:rsidRDefault="00F427CF" w:rsidP="00257230">
            <w:pPr>
              <w:pStyle w:val="NormalWeb"/>
              <w:rPr>
                <w:lang w:val="ro-RO"/>
              </w:rPr>
            </w:pPr>
            <w:r w:rsidRPr="00B77707">
              <w:rPr>
                <w:lang w:val="ro-RO"/>
              </w:rPr>
              <w:t>3300</w:t>
            </w:r>
          </w:p>
        </w:tc>
      </w:tr>
    </w:tbl>
    <w:p w:rsidR="00FE3A8A" w:rsidRPr="00B77707" w:rsidRDefault="00FE3A8A" w:rsidP="00257230">
      <w:pPr>
        <w:pStyle w:val="NormalWeb"/>
        <w:rPr>
          <w:lang w:val="ro-RO"/>
        </w:rPr>
      </w:pPr>
    </w:p>
    <w:p w:rsidR="00257230" w:rsidRPr="00B77707" w:rsidRDefault="00257230" w:rsidP="0048171E">
      <w:pPr>
        <w:pStyle w:val="NormalWeb"/>
        <w:rPr>
          <w:color w:val="000000"/>
          <w:lang w:val="ro-RO"/>
        </w:rPr>
      </w:pPr>
    </w:p>
    <w:p w:rsidR="004E4311" w:rsidRPr="00B77707" w:rsidRDefault="004E4311">
      <w:pPr>
        <w:rPr>
          <w:color w:val="000000"/>
          <w:lang w:val="ro-RO"/>
        </w:rPr>
      </w:pPr>
    </w:p>
    <w:p w:rsidR="004E4311" w:rsidRPr="00B77707" w:rsidRDefault="004E4311" w:rsidP="004E4311">
      <w:pPr>
        <w:rPr>
          <w:lang w:val="ro-RO"/>
        </w:rPr>
        <w:sectPr w:rsidR="004E4311" w:rsidRPr="00B77707" w:rsidSect="004E4311">
          <w:type w:val="continuous"/>
          <w:pgSz w:w="12240" w:h="15840"/>
          <w:pgMar w:top="1440" w:right="1800" w:bottom="1440" w:left="1800" w:header="708" w:footer="708" w:gutter="0"/>
          <w:cols w:space="708"/>
          <w:docGrid w:linePitch="360"/>
        </w:sectPr>
      </w:pPr>
    </w:p>
    <w:p w:rsidR="0048171E" w:rsidRPr="00B77707" w:rsidRDefault="0048171E">
      <w:pPr>
        <w:rPr>
          <w:color w:val="000000"/>
          <w:lang w:val="ro-RO"/>
        </w:rPr>
      </w:pPr>
    </w:p>
    <w:sectPr w:rsidR="0048171E" w:rsidRPr="00B77707" w:rsidSect="004E4311">
      <w:type w:val="continuous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E1002A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21DD6"/>
    <w:multiLevelType w:val="multilevel"/>
    <w:tmpl w:val="97922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hyphenationZone w:val="425"/>
  <w:characterSpacingControl w:val="doNotCompress"/>
  <w:compat/>
  <w:rsids>
    <w:rsidRoot w:val="00527B0B"/>
    <w:rsid w:val="00044863"/>
    <w:rsid w:val="0004763D"/>
    <w:rsid w:val="000710D5"/>
    <w:rsid w:val="00083541"/>
    <w:rsid w:val="000976E9"/>
    <w:rsid w:val="000A2329"/>
    <w:rsid w:val="000C3F4D"/>
    <w:rsid w:val="00113F22"/>
    <w:rsid w:val="00121212"/>
    <w:rsid w:val="00141410"/>
    <w:rsid w:val="00147969"/>
    <w:rsid w:val="00190FFC"/>
    <w:rsid w:val="002256AF"/>
    <w:rsid w:val="00257230"/>
    <w:rsid w:val="00285F3D"/>
    <w:rsid w:val="00296CFC"/>
    <w:rsid w:val="002D7C7E"/>
    <w:rsid w:val="002E6138"/>
    <w:rsid w:val="00314D97"/>
    <w:rsid w:val="0033155C"/>
    <w:rsid w:val="00380A3F"/>
    <w:rsid w:val="00384576"/>
    <w:rsid w:val="003A46C9"/>
    <w:rsid w:val="00411C58"/>
    <w:rsid w:val="004372F4"/>
    <w:rsid w:val="00462E0C"/>
    <w:rsid w:val="00475CCF"/>
    <w:rsid w:val="0048171E"/>
    <w:rsid w:val="004A27CD"/>
    <w:rsid w:val="004B55AB"/>
    <w:rsid w:val="004B7F65"/>
    <w:rsid w:val="004C7A02"/>
    <w:rsid w:val="004D239E"/>
    <w:rsid w:val="004E4311"/>
    <w:rsid w:val="00513F72"/>
    <w:rsid w:val="00527B0B"/>
    <w:rsid w:val="00596248"/>
    <w:rsid w:val="00597A3A"/>
    <w:rsid w:val="005B259A"/>
    <w:rsid w:val="005F16F3"/>
    <w:rsid w:val="00603625"/>
    <w:rsid w:val="00657C23"/>
    <w:rsid w:val="00662F29"/>
    <w:rsid w:val="006B260D"/>
    <w:rsid w:val="006D4EF7"/>
    <w:rsid w:val="006F2BC7"/>
    <w:rsid w:val="006F4E6E"/>
    <w:rsid w:val="00726EFA"/>
    <w:rsid w:val="00767C4D"/>
    <w:rsid w:val="007B3F44"/>
    <w:rsid w:val="007F47C0"/>
    <w:rsid w:val="00826E5C"/>
    <w:rsid w:val="00854189"/>
    <w:rsid w:val="008D5CFB"/>
    <w:rsid w:val="008F4B21"/>
    <w:rsid w:val="00993C17"/>
    <w:rsid w:val="009B0409"/>
    <w:rsid w:val="009F541B"/>
    <w:rsid w:val="00A00ADB"/>
    <w:rsid w:val="00A0510E"/>
    <w:rsid w:val="00A21F77"/>
    <w:rsid w:val="00B03A42"/>
    <w:rsid w:val="00B13732"/>
    <w:rsid w:val="00B21E58"/>
    <w:rsid w:val="00B352CA"/>
    <w:rsid w:val="00B66C63"/>
    <w:rsid w:val="00B77707"/>
    <w:rsid w:val="00BD201C"/>
    <w:rsid w:val="00BF6569"/>
    <w:rsid w:val="00C06388"/>
    <w:rsid w:val="00C12E15"/>
    <w:rsid w:val="00C35BD2"/>
    <w:rsid w:val="00C62725"/>
    <w:rsid w:val="00C840C7"/>
    <w:rsid w:val="00C86A19"/>
    <w:rsid w:val="00CC58CA"/>
    <w:rsid w:val="00D0003A"/>
    <w:rsid w:val="00D01395"/>
    <w:rsid w:val="00D05F25"/>
    <w:rsid w:val="00D20FC9"/>
    <w:rsid w:val="00D260F0"/>
    <w:rsid w:val="00D61056"/>
    <w:rsid w:val="00D93FE5"/>
    <w:rsid w:val="00DB7896"/>
    <w:rsid w:val="00DD6D47"/>
    <w:rsid w:val="00E027FF"/>
    <w:rsid w:val="00E3206C"/>
    <w:rsid w:val="00E4453D"/>
    <w:rsid w:val="00E54867"/>
    <w:rsid w:val="00EC22D2"/>
    <w:rsid w:val="00EC5634"/>
    <w:rsid w:val="00EE3C3F"/>
    <w:rsid w:val="00EF03C5"/>
    <w:rsid w:val="00F056F2"/>
    <w:rsid w:val="00F32374"/>
    <w:rsid w:val="00F4142F"/>
    <w:rsid w:val="00F427CF"/>
    <w:rsid w:val="00F552B4"/>
    <w:rsid w:val="00F56BF7"/>
    <w:rsid w:val="00F91F64"/>
    <w:rsid w:val="00FB4215"/>
    <w:rsid w:val="00FE3A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C5634"/>
    <w:rPr>
      <w:sz w:val="24"/>
      <w:szCs w:val="24"/>
    </w:rPr>
  </w:style>
  <w:style w:type="paragraph" w:styleId="Titlu1">
    <w:name w:val="heading 1"/>
    <w:basedOn w:val="Normal"/>
    <w:next w:val="Normal"/>
    <w:link w:val="Titlu1Caracter"/>
    <w:qFormat/>
    <w:rsid w:val="00596248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lu2">
    <w:name w:val="heading 2"/>
    <w:basedOn w:val="Normal"/>
    <w:qFormat/>
    <w:rsid w:val="0048171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basedOn w:val="Fontdeparagrafimplicit"/>
    <w:rsid w:val="0048171E"/>
    <w:rPr>
      <w:color w:val="0000FF"/>
      <w:u w:val="single"/>
    </w:rPr>
  </w:style>
  <w:style w:type="paragraph" w:styleId="NormalWeb">
    <w:name w:val="Normal (Web)"/>
    <w:basedOn w:val="Normal"/>
    <w:rsid w:val="0048171E"/>
    <w:pPr>
      <w:spacing w:before="100" w:beforeAutospacing="1" w:after="100" w:afterAutospacing="1"/>
    </w:pPr>
  </w:style>
  <w:style w:type="character" w:customStyle="1" w:styleId="toctoggle">
    <w:name w:val="toctoggle"/>
    <w:basedOn w:val="Fontdeparagrafimplicit"/>
    <w:rsid w:val="0048171E"/>
  </w:style>
  <w:style w:type="character" w:customStyle="1" w:styleId="tocnumber">
    <w:name w:val="tocnumber"/>
    <w:basedOn w:val="Fontdeparagrafimplicit"/>
    <w:rsid w:val="0048171E"/>
  </w:style>
  <w:style w:type="character" w:customStyle="1" w:styleId="toctext">
    <w:name w:val="toctext"/>
    <w:basedOn w:val="Fontdeparagrafimplicit"/>
    <w:rsid w:val="0048171E"/>
  </w:style>
  <w:style w:type="character" w:customStyle="1" w:styleId="editsection">
    <w:name w:val="editsection"/>
    <w:basedOn w:val="Fontdeparagrafimplicit"/>
    <w:rsid w:val="0048171E"/>
  </w:style>
  <w:style w:type="character" w:customStyle="1" w:styleId="mw-headline">
    <w:name w:val="mw-headline"/>
    <w:basedOn w:val="Fontdeparagrafimplicit"/>
    <w:rsid w:val="0048171E"/>
  </w:style>
  <w:style w:type="character" w:customStyle="1" w:styleId="Titlu1Caracter">
    <w:name w:val="Titlu 1 Caracter"/>
    <w:basedOn w:val="Fontdeparagrafimplicit"/>
    <w:link w:val="Titlu1"/>
    <w:rsid w:val="0059624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extnBalon">
    <w:name w:val="Balloon Text"/>
    <w:basedOn w:val="Normal"/>
    <w:link w:val="TextnBalonCaracter"/>
    <w:rsid w:val="004A27CD"/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rsid w:val="004A27CD"/>
    <w:rPr>
      <w:rFonts w:ascii="Tahoma" w:hAnsi="Tahoma" w:cs="Tahoma"/>
      <w:sz w:val="16"/>
      <w:szCs w:val="16"/>
    </w:rPr>
  </w:style>
  <w:style w:type="table" w:styleId="GrilTabel">
    <w:name w:val="Table Grid"/>
    <w:basedOn w:val="TabelNormal"/>
    <w:rsid w:val="004E43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989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86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81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842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32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1761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411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09771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229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80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18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274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Delta Dunării</vt:lpstr>
    </vt:vector>
  </TitlesOfParts>
  <Company>Home</Company>
  <LinksUpToDate>false</LinksUpToDate>
  <CharactersWithSpaces>1864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Delta Dunării</dc:title>
  <dc:subject/>
  <dc:creator>Radu Mindru</dc:creator>
  <cp:keywords/>
  <dc:description/>
  <cp:lastModifiedBy>user</cp:lastModifiedBy>
  <cp:revision>16</cp:revision>
  <dcterms:created xsi:type="dcterms:W3CDTF">2011-05-07T17:13:00Z</dcterms:created>
  <dcterms:modified xsi:type="dcterms:W3CDTF">2011-05-13T19:17:00Z</dcterms:modified>
</cp:coreProperties>
</file>