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8F" w:rsidRPr="008026C4" w:rsidRDefault="0096190E" w:rsidP="003001C9">
      <w:pPr>
        <w:spacing w:before="60"/>
        <w:jc w:val="center"/>
        <w:rPr>
          <w:rFonts w:ascii="Arial" w:hAnsi="Arial" w:cs="Arial"/>
          <w:noProof/>
          <w:sz w:val="28"/>
          <w:szCs w:val="28"/>
          <w:lang w:val="ro-RO"/>
        </w:rPr>
      </w:pPr>
      <w:r w:rsidRPr="008026C4">
        <w:rPr>
          <w:rFonts w:ascii="Arial" w:hAnsi="Arial" w:cs="Arial"/>
          <w:noProof/>
          <w:sz w:val="28"/>
          <w:szCs w:val="28"/>
          <w:lang w:val="ro-RO"/>
        </w:rPr>
        <w:t>ASAMBLAREA NITUITĂ</w:t>
      </w:r>
    </w:p>
    <w:p w:rsidR="00F44668" w:rsidRPr="008026C4" w:rsidRDefault="00F44668" w:rsidP="00F44668">
      <w:pPr>
        <w:spacing w:before="60"/>
        <w:ind w:firstLine="851"/>
        <w:jc w:val="center"/>
        <w:rPr>
          <w:rFonts w:ascii="Arial" w:hAnsi="Arial" w:cs="Arial"/>
          <w:noProof/>
          <w:lang w:val="ro-RO"/>
        </w:rPr>
      </w:pPr>
    </w:p>
    <w:p w:rsidR="00CC73E4"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16002B" w:rsidRPr="008026C4" w:rsidRDefault="009B5CAE" w:rsidP="004E3675">
      <w:pPr>
        <w:spacing w:before="60"/>
        <w:jc w:val="both"/>
        <w:rPr>
          <w:rFonts w:ascii="Arial" w:hAnsi="Arial" w:cs="Arial"/>
          <w:noProof/>
          <w:lang w:val="ro-RO"/>
        </w:rPr>
      </w:pPr>
      <w:r>
        <w:rPr>
          <w:rFonts w:ascii="Arial" w:hAnsi="Arial" w:cs="Arial"/>
          <w:noProof/>
          <w:lang w:val="ro-RO" w:eastAsia="zh-CN"/>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0" w:name="OLE_LINK1"/>
      <w:bookmarkStart w:id="1"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0"/>
    <w:bookmarkEnd w:id="1"/>
    <w:p w:rsidR="007C7780" w:rsidRPr="008026C4" w:rsidRDefault="007C7780" w:rsidP="00263A3A">
      <w:pPr>
        <w:spacing w:before="60"/>
        <w:ind w:firstLine="851"/>
        <w:jc w:val="both"/>
        <w:rPr>
          <w:rFonts w:ascii="Arial" w:hAnsi="Arial" w:cs="Arial"/>
          <w:noProof/>
          <w:lang w:val="ro-RO"/>
        </w:rPr>
      </w:pPr>
    </w:p>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3"/>
        <w:gridCol w:w="1896"/>
        <w:gridCol w:w="1896"/>
        <w:gridCol w:w="1896"/>
      </w:tblGrid>
      <w:tr w:rsidR="00F6575A" w:rsidRPr="001412C0" w:rsidTr="001412C0">
        <w:tc>
          <w:tcPr>
            <w:tcW w:w="1739" w:type="pct"/>
          </w:tcPr>
          <w:p w:rsidR="00F6575A" w:rsidRPr="001412C0" w:rsidRDefault="00F6575A" w:rsidP="001412C0">
            <w:pPr>
              <w:spacing w:before="60"/>
              <w:jc w:val="both"/>
              <w:rPr>
                <w:rFonts w:ascii="Arial" w:hAnsi="Arial" w:cs="Arial"/>
                <w:noProof/>
                <w:sz w:val="28"/>
                <w:szCs w:val="28"/>
                <w:lang w:val="ro-RO"/>
              </w:rPr>
            </w:pPr>
            <w:r w:rsidRPr="001412C0">
              <w:rPr>
                <w:rFonts w:ascii="Arial" w:hAnsi="Arial" w:cs="Arial"/>
                <w:noProof/>
                <w:sz w:val="28"/>
                <w:szCs w:val="28"/>
                <w:lang w:val="ro-RO"/>
              </w:rPr>
              <w:t>Elementele îmbinării</w:t>
            </w:r>
          </w:p>
        </w:tc>
        <w:tc>
          <w:tcPr>
            <w:tcW w:w="1087" w:type="pct"/>
          </w:tcPr>
          <w:p w:rsidR="00F6575A" w:rsidRPr="001412C0" w:rsidRDefault="00F6575A" w:rsidP="001412C0">
            <w:pPr>
              <w:spacing w:before="60"/>
              <w:jc w:val="both"/>
              <w:rPr>
                <w:rFonts w:ascii="Arial" w:hAnsi="Arial" w:cs="Arial"/>
                <w:noProof/>
                <w:sz w:val="28"/>
                <w:szCs w:val="28"/>
                <w:lang w:val="ro-RO"/>
              </w:rPr>
            </w:pPr>
            <w:r w:rsidRPr="001412C0">
              <w:rPr>
                <w:rFonts w:ascii="Arial" w:hAnsi="Arial" w:cs="Arial"/>
                <w:noProof/>
                <w:sz w:val="28"/>
                <w:szCs w:val="28"/>
                <w:lang w:val="ro-RO"/>
              </w:rPr>
              <w:t>Tracţiune</w:t>
            </w:r>
          </w:p>
        </w:tc>
        <w:tc>
          <w:tcPr>
            <w:tcW w:w="1087" w:type="pct"/>
          </w:tcPr>
          <w:p w:rsidR="00F6575A" w:rsidRPr="001412C0" w:rsidRDefault="00F6575A" w:rsidP="001412C0">
            <w:pPr>
              <w:spacing w:before="60"/>
              <w:jc w:val="both"/>
              <w:rPr>
                <w:rFonts w:ascii="Arial" w:hAnsi="Arial" w:cs="Arial"/>
                <w:noProof/>
                <w:sz w:val="28"/>
                <w:szCs w:val="28"/>
                <w:lang w:val="ro-RO"/>
              </w:rPr>
            </w:pPr>
            <w:r w:rsidRPr="001412C0">
              <w:rPr>
                <w:rFonts w:ascii="Arial" w:hAnsi="Arial" w:cs="Arial"/>
                <w:noProof/>
                <w:sz w:val="28"/>
                <w:szCs w:val="28"/>
                <w:lang w:val="ro-RO"/>
              </w:rPr>
              <w:t>Forfecare</w:t>
            </w:r>
          </w:p>
        </w:tc>
        <w:tc>
          <w:tcPr>
            <w:tcW w:w="1087" w:type="pct"/>
          </w:tcPr>
          <w:p w:rsidR="00F6575A" w:rsidRPr="001412C0" w:rsidRDefault="00F6575A" w:rsidP="001412C0">
            <w:pPr>
              <w:spacing w:before="60"/>
              <w:jc w:val="both"/>
              <w:rPr>
                <w:rFonts w:ascii="Arial" w:hAnsi="Arial" w:cs="Arial"/>
                <w:noProof/>
                <w:sz w:val="28"/>
                <w:szCs w:val="28"/>
                <w:lang w:val="ro-RO"/>
              </w:rPr>
            </w:pPr>
            <w:r w:rsidRPr="001412C0">
              <w:rPr>
                <w:rFonts w:ascii="Arial" w:hAnsi="Arial" w:cs="Arial"/>
                <w:noProof/>
                <w:sz w:val="28"/>
                <w:szCs w:val="28"/>
                <w:lang w:val="ro-RO"/>
              </w:rPr>
              <w:t>Presiune de contact</w:t>
            </w:r>
          </w:p>
        </w:tc>
      </w:tr>
      <w:tr w:rsidR="00F6575A" w:rsidRPr="001412C0" w:rsidTr="001412C0">
        <w:tc>
          <w:tcPr>
            <w:tcW w:w="1739" w:type="pct"/>
          </w:tcPr>
          <w:p w:rsidR="00F6575A" w:rsidRPr="001412C0" w:rsidRDefault="00F6575A" w:rsidP="001412C0">
            <w:pPr>
              <w:spacing w:before="60"/>
              <w:jc w:val="both"/>
              <w:rPr>
                <w:rFonts w:ascii="Arial" w:hAnsi="Arial" w:cs="Arial"/>
                <w:noProof/>
                <w:lang w:val="ro-RO"/>
              </w:rPr>
            </w:pP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sym w:font="Symbol" w:char="F073"/>
            </w:r>
            <w:r w:rsidRPr="001412C0">
              <w:rPr>
                <w:rFonts w:ascii="Arial" w:hAnsi="Arial" w:cs="Arial"/>
                <w:noProof/>
                <w:lang w:val="ro-RO"/>
              </w:rPr>
              <w:t>at</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sym w:font="Symbol" w:char="F073"/>
            </w:r>
            <w:r w:rsidRPr="001412C0">
              <w:rPr>
                <w:rFonts w:ascii="Arial" w:hAnsi="Arial" w:cs="Arial"/>
                <w:noProof/>
                <w:lang w:val="ro-RO"/>
              </w:rPr>
              <w:t>af</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sym w:font="Symbol" w:char="F073"/>
            </w:r>
            <w:r w:rsidRPr="001412C0">
              <w:rPr>
                <w:rFonts w:ascii="Arial" w:hAnsi="Arial" w:cs="Arial"/>
                <w:noProof/>
                <w:lang w:val="ro-RO"/>
              </w:rPr>
              <w:t>ak</w:t>
            </w:r>
          </w:p>
        </w:tc>
      </w:tr>
      <w:tr w:rsidR="00F6575A" w:rsidRPr="001412C0" w:rsidTr="001412C0">
        <w:tc>
          <w:tcPr>
            <w:tcW w:w="1739"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Piese nituite</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1200.....1400</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1200</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2800.....3000</w:t>
            </w:r>
          </w:p>
        </w:tc>
      </w:tr>
      <w:tr w:rsidR="00F6575A" w:rsidRPr="001412C0" w:rsidTr="001412C0">
        <w:tc>
          <w:tcPr>
            <w:tcW w:w="1739"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Nituri</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1100.....1200</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1100</w:t>
            </w:r>
          </w:p>
        </w:tc>
        <w:tc>
          <w:tcPr>
            <w:tcW w:w="1087" w:type="pct"/>
          </w:tcPr>
          <w:p w:rsidR="00F6575A" w:rsidRPr="001412C0" w:rsidRDefault="00F6575A" w:rsidP="001412C0">
            <w:pPr>
              <w:spacing w:before="60"/>
              <w:jc w:val="both"/>
              <w:rPr>
                <w:rFonts w:ascii="Arial" w:hAnsi="Arial" w:cs="Arial"/>
                <w:noProof/>
                <w:lang w:val="ro-RO"/>
              </w:rPr>
            </w:pPr>
            <w:r w:rsidRPr="001412C0">
              <w:rPr>
                <w:rFonts w:ascii="Arial" w:hAnsi="Arial" w:cs="Arial"/>
                <w:noProof/>
                <w:lang w:val="ro-RO"/>
              </w:rPr>
              <w:t>2800.....3000</w:t>
            </w:r>
          </w:p>
        </w:tc>
      </w:tr>
    </w:tbl>
    <w:p w:rsidR="009F7C6B" w:rsidRPr="008026C4" w:rsidRDefault="009F7C6B" w:rsidP="00EB17BA">
      <w:pPr>
        <w:spacing w:before="60"/>
        <w:jc w:val="both"/>
        <w:rPr>
          <w:rFonts w:ascii="Arial" w:hAnsi="Arial" w:cs="Arial"/>
          <w:noProof/>
          <w:lang w:val="ro-RO"/>
        </w:rPr>
      </w:pPr>
    </w:p>
    <w:p w:rsidR="00A01845" w:rsidRPr="008026C4" w:rsidRDefault="00A01845" w:rsidP="00A01845">
      <w:pPr>
        <w:pStyle w:val="Footer"/>
        <w:jc w:val="both"/>
        <w:rPr>
          <w:rFonts w:ascii="Arial" w:hAnsi="Arial" w:cs="Arial"/>
          <w:lang w:val="it-IT"/>
        </w:rPr>
      </w:pPr>
      <w:bookmarkStart w:id="2" w:name="OLE_LINK3"/>
      <w:bookmarkStart w:id="3" w:name="OLE_LINK4"/>
      <w:bookmarkStart w:id="4"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2"/>
      <w:bookmarkEnd w:id="3"/>
      <w:bookmarkEnd w:id="4"/>
    </w:p>
    <w:p w:rsidR="00A01845" w:rsidRPr="008026C4" w:rsidRDefault="00A01845" w:rsidP="00EB17BA">
      <w:pPr>
        <w:spacing w:before="60"/>
        <w:jc w:val="both"/>
        <w:rPr>
          <w:rFonts w:ascii="Arial" w:hAnsi="Arial" w:cs="Arial"/>
          <w:noProof/>
          <w:lang w:val="ro-RO"/>
        </w:rPr>
      </w:pPr>
    </w:p>
    <w:sectPr w:rsidR="00A01845" w:rsidRPr="008026C4" w:rsidSect="00714D06">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9E6" w:rsidRDefault="00E779E6">
      <w:r>
        <w:separator/>
      </w:r>
    </w:p>
  </w:endnote>
  <w:endnote w:type="continuationSeparator" w:id="1">
    <w:p w:rsidR="00E779E6" w:rsidRDefault="00E77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80" w:rsidRPr="00A01845" w:rsidRDefault="007C7780" w:rsidP="00A01845">
    <w:pPr>
      <w:pStyle w:val="Footer"/>
      <w:rPr>
        <w:rFonts w:ascii="Arial" w:hAnsi="Arial" w:cs="Arial"/>
        <w:sz w:val="20"/>
        <w:szCs w:val="20"/>
        <w:lang w:val="en-GB"/>
      </w:rPr>
    </w:pPr>
    <w:r w:rsidRPr="0055743E">
      <w:rPr>
        <w:rFonts w:ascii="Arial" w:hAnsi="Arial" w:cs="Arial"/>
        <w:sz w:val="20"/>
        <w:szCs w:val="20"/>
        <w:lang w:val="en-GB"/>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9E6" w:rsidRDefault="00E779E6">
      <w:r>
        <w:separator/>
      </w:r>
    </w:p>
  </w:footnote>
  <w:footnote w:type="continuationSeparator" w:id="1">
    <w:p w:rsidR="00E779E6" w:rsidRDefault="00E779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80" w:rsidRPr="00B45929" w:rsidRDefault="007C7780" w:rsidP="001C3E91">
    <w:pPr>
      <w:pStyle w:val="Header"/>
      <w:rPr>
        <w:rFonts w:ascii="Arial" w:hAnsi="Arial" w:cs="Arial"/>
        <w:sz w:val="20"/>
        <w:szCs w:val="20"/>
        <w:lang w:val="ro-RO"/>
      </w:rPr>
    </w:pPr>
    <w:r w:rsidRPr="00B45929">
      <w:rPr>
        <w:rFonts w:ascii="Arial" w:hAnsi="Arial" w:cs="Arial"/>
        <w:sz w:val="20"/>
        <w:szCs w:val="20"/>
        <w:lang w:val="ro-RO"/>
      </w:rPr>
      <w:t xml:space="preserve">Examenul de bacalaureat 2010 </w:t>
    </w:r>
  </w:p>
  <w:p w:rsidR="007C7780" w:rsidRPr="00B45929" w:rsidRDefault="007C7780">
    <w:pPr>
      <w:pStyle w:val="Header"/>
      <w:rPr>
        <w:sz w:val="20"/>
        <w:szCs w:val="20"/>
        <w:lang w:val="ro-RO"/>
      </w:rPr>
    </w:pPr>
    <w:r w:rsidRPr="00B45929">
      <w:rPr>
        <w:rFonts w:ascii="Arial" w:hAnsi="Arial" w:cs="Arial"/>
        <w:sz w:val="20"/>
        <w:szCs w:val="20"/>
        <w:lang w:val="ro-RO"/>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08378F"/>
    <w:rsid w:val="00005A68"/>
    <w:rsid w:val="00065C98"/>
    <w:rsid w:val="0008378F"/>
    <w:rsid w:val="00092261"/>
    <w:rsid w:val="000C6DB5"/>
    <w:rsid w:val="000D2233"/>
    <w:rsid w:val="0011353D"/>
    <w:rsid w:val="001150C3"/>
    <w:rsid w:val="001412C0"/>
    <w:rsid w:val="001414C3"/>
    <w:rsid w:val="00156ED1"/>
    <w:rsid w:val="0016002B"/>
    <w:rsid w:val="00160D00"/>
    <w:rsid w:val="00197259"/>
    <w:rsid w:val="001A324B"/>
    <w:rsid w:val="001C3E91"/>
    <w:rsid w:val="001E4192"/>
    <w:rsid w:val="00220AF2"/>
    <w:rsid w:val="00241B7B"/>
    <w:rsid w:val="00263A3A"/>
    <w:rsid w:val="00291781"/>
    <w:rsid w:val="003001C9"/>
    <w:rsid w:val="00303883"/>
    <w:rsid w:val="00376742"/>
    <w:rsid w:val="003B3FD4"/>
    <w:rsid w:val="003C1DB2"/>
    <w:rsid w:val="003E7C5F"/>
    <w:rsid w:val="004375C1"/>
    <w:rsid w:val="004429BE"/>
    <w:rsid w:val="00477F78"/>
    <w:rsid w:val="004C659A"/>
    <w:rsid w:val="004E3675"/>
    <w:rsid w:val="004E496F"/>
    <w:rsid w:val="005003DD"/>
    <w:rsid w:val="00504D23"/>
    <w:rsid w:val="00514524"/>
    <w:rsid w:val="00530213"/>
    <w:rsid w:val="00546735"/>
    <w:rsid w:val="0058121E"/>
    <w:rsid w:val="00592923"/>
    <w:rsid w:val="005B5759"/>
    <w:rsid w:val="005C7178"/>
    <w:rsid w:val="005E3522"/>
    <w:rsid w:val="00622DE7"/>
    <w:rsid w:val="0062595F"/>
    <w:rsid w:val="006C6944"/>
    <w:rsid w:val="00700268"/>
    <w:rsid w:val="00714D06"/>
    <w:rsid w:val="00770B4A"/>
    <w:rsid w:val="007A53DF"/>
    <w:rsid w:val="007C7780"/>
    <w:rsid w:val="008026C4"/>
    <w:rsid w:val="00811BCD"/>
    <w:rsid w:val="0081501E"/>
    <w:rsid w:val="00826C42"/>
    <w:rsid w:val="00844F79"/>
    <w:rsid w:val="00852FC2"/>
    <w:rsid w:val="00877D76"/>
    <w:rsid w:val="008B41F9"/>
    <w:rsid w:val="008D1E7A"/>
    <w:rsid w:val="008E5C54"/>
    <w:rsid w:val="008F4B6C"/>
    <w:rsid w:val="0090614C"/>
    <w:rsid w:val="00944609"/>
    <w:rsid w:val="0096190E"/>
    <w:rsid w:val="00963453"/>
    <w:rsid w:val="00983C32"/>
    <w:rsid w:val="009B5CAE"/>
    <w:rsid w:val="009B6334"/>
    <w:rsid w:val="009D0916"/>
    <w:rsid w:val="009E4E9F"/>
    <w:rsid w:val="009F7C6B"/>
    <w:rsid w:val="00A00DFB"/>
    <w:rsid w:val="00A01845"/>
    <w:rsid w:val="00A14B8C"/>
    <w:rsid w:val="00A2397D"/>
    <w:rsid w:val="00A908B7"/>
    <w:rsid w:val="00AF031C"/>
    <w:rsid w:val="00AF6CE3"/>
    <w:rsid w:val="00B26665"/>
    <w:rsid w:val="00B45929"/>
    <w:rsid w:val="00BB4490"/>
    <w:rsid w:val="00BE51B4"/>
    <w:rsid w:val="00C01824"/>
    <w:rsid w:val="00C213B3"/>
    <w:rsid w:val="00C37F99"/>
    <w:rsid w:val="00C65085"/>
    <w:rsid w:val="00C855E8"/>
    <w:rsid w:val="00C870B9"/>
    <w:rsid w:val="00CA5B38"/>
    <w:rsid w:val="00CB1AD8"/>
    <w:rsid w:val="00CC73E4"/>
    <w:rsid w:val="00CE31D0"/>
    <w:rsid w:val="00D01406"/>
    <w:rsid w:val="00D03D6C"/>
    <w:rsid w:val="00D065D8"/>
    <w:rsid w:val="00D12629"/>
    <w:rsid w:val="00D74B54"/>
    <w:rsid w:val="00DA639F"/>
    <w:rsid w:val="00E145CF"/>
    <w:rsid w:val="00E3682A"/>
    <w:rsid w:val="00E47860"/>
    <w:rsid w:val="00E7301F"/>
    <w:rsid w:val="00E779E6"/>
    <w:rsid w:val="00EB17BA"/>
    <w:rsid w:val="00EE37A8"/>
    <w:rsid w:val="00F02A5E"/>
    <w:rsid w:val="00F44668"/>
    <w:rsid w:val="00F6575A"/>
    <w:rsid w:val="00F8328C"/>
    <w:rsid w:val="00F94E4A"/>
    <w:rsid w:val="00F9600B"/>
    <w:rsid w:val="00FA627B"/>
    <w:rsid w:val="00FB416C"/>
    <w:rsid w:val="00FD23F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semiHidden/>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Digitale</cp:lastModifiedBy>
  <cp:revision>2</cp:revision>
  <dcterms:created xsi:type="dcterms:W3CDTF">2010-04-08T09:11:00Z</dcterms:created>
  <dcterms:modified xsi:type="dcterms:W3CDTF">2010-04-08T09:11:00Z</dcterms:modified>
</cp:coreProperties>
</file>